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EA92D" w14:textId="77777777" w:rsidR="008F01E2" w:rsidRDefault="0054284C">
      <w:pPr>
        <w:jc w:val="both"/>
      </w:pPr>
      <w:bookmarkStart w:id="0" w:name="_GoBack"/>
      <w:bookmarkEnd w:id="0"/>
      <w:r>
        <w:tab/>
      </w:r>
      <w:r>
        <w:tab/>
      </w:r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51DDDFA2" wp14:editId="47D93599">
            <wp:simplePos x="0" y="0"/>
            <wp:positionH relativeFrom="column">
              <wp:posOffset>2592705</wp:posOffset>
            </wp:positionH>
            <wp:positionV relativeFrom="paragraph">
              <wp:posOffset>15875</wp:posOffset>
            </wp:positionV>
            <wp:extent cx="772795" cy="68008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-483" t="-550" r="-482" b="-549"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680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CE6EF" w14:textId="77777777" w:rsidR="008F01E2" w:rsidRDefault="008F01E2">
      <w:pPr>
        <w:jc w:val="center"/>
        <w:rPr>
          <w:b/>
        </w:rPr>
      </w:pPr>
    </w:p>
    <w:p w14:paraId="10B43286" w14:textId="77777777" w:rsidR="008F01E2" w:rsidRDefault="008F01E2">
      <w:pPr>
        <w:jc w:val="center"/>
        <w:rPr>
          <w:b/>
        </w:rPr>
      </w:pPr>
    </w:p>
    <w:p w14:paraId="6C02EE08" w14:textId="77777777" w:rsidR="008F01E2" w:rsidRDefault="008F01E2">
      <w:pPr>
        <w:jc w:val="center"/>
        <w:rPr>
          <w:b/>
        </w:rPr>
      </w:pPr>
    </w:p>
    <w:p w14:paraId="4772A151" w14:textId="77777777" w:rsidR="008F01E2" w:rsidRDefault="008F01E2">
      <w:pPr>
        <w:jc w:val="center"/>
        <w:rPr>
          <w:b/>
        </w:rPr>
      </w:pPr>
    </w:p>
    <w:p w14:paraId="13A3765F" w14:textId="77777777" w:rsidR="008F01E2" w:rsidRDefault="0054284C">
      <w:pPr>
        <w:keepNext/>
        <w:widowControl w:val="0"/>
        <w:tabs>
          <w:tab w:val="left" w:pos="1134"/>
          <w:tab w:val="left" w:pos="8364"/>
        </w:tabs>
        <w:ind w:left="1134" w:right="1276"/>
        <w:jc w:val="center"/>
      </w:pPr>
      <w:r>
        <w:rPr>
          <w:rFonts w:ascii="Kunstler Script" w:eastAsia="Kunstler Script" w:hAnsi="Kunstler Script" w:cs="Kunstler Script"/>
          <w:color w:val="000000"/>
          <w:sz w:val="120"/>
          <w:szCs w:val="120"/>
        </w:rPr>
        <w:t>Ministero della Salute</w:t>
      </w:r>
    </w:p>
    <w:p w14:paraId="0100DB1B" w14:textId="77777777" w:rsidR="008F01E2" w:rsidRDefault="008F01E2">
      <w:pPr>
        <w:ind w:right="49"/>
        <w:jc w:val="both"/>
        <w:rPr>
          <w:rFonts w:ascii="Kunstler Script" w:eastAsia="Kunstler Script" w:hAnsi="Kunstler Script" w:cs="Kunstler Script"/>
          <w:color w:val="000000"/>
          <w:sz w:val="120"/>
          <w:szCs w:val="120"/>
        </w:rPr>
      </w:pPr>
    </w:p>
    <w:p w14:paraId="18E23DF4" w14:textId="77777777" w:rsidR="008F01E2" w:rsidRDefault="0054284C">
      <w:pPr>
        <w:jc w:val="center"/>
      </w:pPr>
      <w:r>
        <w:rPr>
          <w:b/>
          <w:sz w:val="26"/>
          <w:szCs w:val="26"/>
        </w:rPr>
        <w:t>Ordinanza contingibile e urgente n. 1</w:t>
      </w:r>
    </w:p>
    <w:p w14:paraId="3A6F7463" w14:textId="77777777" w:rsidR="008F01E2" w:rsidRDefault="008F01E2">
      <w:pPr>
        <w:jc w:val="center"/>
        <w:rPr>
          <w:b/>
          <w:sz w:val="26"/>
          <w:szCs w:val="26"/>
        </w:rPr>
      </w:pPr>
    </w:p>
    <w:p w14:paraId="60D0C887" w14:textId="77777777" w:rsidR="008F01E2" w:rsidRDefault="0054284C">
      <w:pPr>
        <w:jc w:val="center"/>
      </w:pPr>
      <w:r>
        <w:rPr>
          <w:sz w:val="28"/>
          <w:szCs w:val="28"/>
        </w:rPr>
        <w:t>Il Ministro della Salute</w:t>
      </w:r>
    </w:p>
    <w:p w14:paraId="44A9BB02" w14:textId="77777777" w:rsidR="008F01E2" w:rsidRDefault="0054284C">
      <w:pPr>
        <w:jc w:val="center"/>
      </w:pPr>
      <w:r>
        <w:rPr>
          <w:sz w:val="28"/>
          <w:szCs w:val="28"/>
        </w:rPr>
        <w:t>di Intesa con il Presidente della Regione Piemonte</w:t>
      </w:r>
    </w:p>
    <w:p w14:paraId="3E781F02" w14:textId="77777777" w:rsidR="008F01E2" w:rsidRDefault="008F01E2">
      <w:pPr>
        <w:jc w:val="center"/>
        <w:rPr>
          <w:sz w:val="28"/>
          <w:szCs w:val="28"/>
        </w:rPr>
      </w:pPr>
    </w:p>
    <w:p w14:paraId="214A5D0E" w14:textId="77777777" w:rsidR="008F01E2" w:rsidRDefault="008F01E2">
      <w:pPr>
        <w:jc w:val="both"/>
        <w:rPr>
          <w:sz w:val="28"/>
          <w:szCs w:val="28"/>
        </w:rPr>
      </w:pPr>
    </w:p>
    <w:p w14:paraId="3CE0A6F2" w14:textId="77777777" w:rsidR="008F01E2" w:rsidRDefault="0054284C">
      <w:pPr>
        <w:spacing w:after="120" w:line="276" w:lineRule="auto"/>
        <w:jc w:val="both"/>
      </w:pPr>
      <w:r>
        <w:rPr>
          <w:b/>
          <w:sz w:val="25"/>
          <w:szCs w:val="25"/>
        </w:rPr>
        <w:t>Misure urgenti in materia di contenimento e gestione dell’emergenza epidemiologica da COVID-2019.</w:t>
      </w:r>
    </w:p>
    <w:p w14:paraId="117168FC" w14:textId="77777777" w:rsidR="008F01E2" w:rsidRDefault="008F01E2">
      <w:pPr>
        <w:spacing w:after="120" w:line="276" w:lineRule="auto"/>
        <w:rPr>
          <w:b/>
          <w:sz w:val="25"/>
          <w:szCs w:val="25"/>
        </w:rPr>
      </w:pPr>
    </w:p>
    <w:p w14:paraId="46D54192" w14:textId="77777777" w:rsidR="008F01E2" w:rsidRDefault="0054284C">
      <w:pPr>
        <w:spacing w:after="120" w:line="276" w:lineRule="auto"/>
      </w:pPr>
      <w:r>
        <w:rPr>
          <w:sz w:val="25"/>
          <w:szCs w:val="25"/>
        </w:rPr>
        <w:t>Visti gli articoli 77 e 87 della Costituzione;</w:t>
      </w:r>
    </w:p>
    <w:p w14:paraId="7E415673" w14:textId="77777777" w:rsidR="008F01E2" w:rsidRDefault="0054284C">
      <w:pPr>
        <w:spacing w:after="120" w:line="276" w:lineRule="auto"/>
        <w:jc w:val="both"/>
      </w:pPr>
      <w:r>
        <w:rPr>
          <w:sz w:val="25"/>
          <w:szCs w:val="25"/>
        </w:rPr>
        <w:t xml:space="preserve">Considerato che si sono verificati finora n. 6 casi in tre comuni del territorio della Regione Piemonte e che </w:t>
      </w:r>
      <w:r>
        <w:rPr>
          <w:sz w:val="25"/>
          <w:szCs w:val="25"/>
        </w:rPr>
        <w:t>precisamente, come dettagliatamente illustrato nella relazione inviata dall’Unità di crisi della Regione Piemonte in data odierna al Ministero della Salute:</w:t>
      </w:r>
    </w:p>
    <w:p w14:paraId="2B9E86DE" w14:textId="77777777" w:rsidR="008F01E2" w:rsidRDefault="0054284C">
      <w:pPr>
        <w:spacing w:after="120" w:line="276" w:lineRule="auto"/>
        <w:jc w:val="both"/>
      </w:pPr>
      <w:r>
        <w:rPr>
          <w:sz w:val="25"/>
          <w:szCs w:val="25"/>
        </w:rPr>
        <w:t>- per 1 caso è stato accertato il contatto con un soggetto positivo del milanese;</w:t>
      </w:r>
    </w:p>
    <w:p w14:paraId="7BA8CDAF" w14:textId="77777777" w:rsidR="008F01E2" w:rsidRDefault="0054284C">
      <w:pPr>
        <w:spacing w:after="120" w:line="276" w:lineRule="auto"/>
        <w:jc w:val="both"/>
      </w:pPr>
      <w:r>
        <w:rPr>
          <w:sz w:val="25"/>
          <w:szCs w:val="25"/>
        </w:rPr>
        <w:t>- per 3 casi si t</w:t>
      </w:r>
      <w:r>
        <w:rPr>
          <w:sz w:val="25"/>
          <w:szCs w:val="25"/>
        </w:rPr>
        <w:t>ratta di soggetti di nazionalità cinese rientrate da area interessata dal virus (Cina);</w:t>
      </w:r>
    </w:p>
    <w:p w14:paraId="15E7A704" w14:textId="77777777" w:rsidR="008F01E2" w:rsidRDefault="0054284C">
      <w:pPr>
        <w:spacing w:after="120" w:line="276" w:lineRule="auto"/>
        <w:jc w:val="both"/>
      </w:pPr>
      <w:r>
        <w:rPr>
          <w:sz w:val="25"/>
          <w:szCs w:val="25"/>
        </w:rPr>
        <w:t>- per 2 casi sono tuttora in corso gli accertamenti da parte del Servizio di igiene e sanità pubblica competente al fine di individuare la possibile fonte di trasmissio</w:t>
      </w:r>
      <w:r>
        <w:rPr>
          <w:sz w:val="25"/>
          <w:szCs w:val="25"/>
        </w:rPr>
        <w:t>ne;</w:t>
      </w:r>
    </w:p>
    <w:p w14:paraId="72FF026B" w14:textId="77777777" w:rsidR="008F01E2" w:rsidRDefault="0054284C">
      <w:pPr>
        <w:spacing w:after="120" w:line="276" w:lineRule="auto"/>
        <w:jc w:val="both"/>
      </w:pPr>
      <w:r>
        <w:rPr>
          <w:sz w:val="25"/>
          <w:szCs w:val="25"/>
        </w:rPr>
        <w:t xml:space="preserve">situazione che potrebbe allargare i focolai epidemici anche ad altri territori del Piemonte in quanto, non conoscendo con certezza la fonte e le modalità di diffusione, i casi di infezione possono essere ad oggi imprevedibili nei tempi, nei modi e nei </w:t>
      </w:r>
      <w:r>
        <w:rPr>
          <w:sz w:val="25"/>
          <w:szCs w:val="25"/>
        </w:rPr>
        <w:t>numeri, considerando l’estensione del confine del Piemonte con la Lombardia da cui è riscontrabile una situazione di rischio che potrebbe essere l’origine di un caso di contagio e di altre situazioni di rischio attualmente sotto analisi;</w:t>
      </w:r>
    </w:p>
    <w:p w14:paraId="3C0CA507" w14:textId="77777777" w:rsidR="008F01E2" w:rsidRDefault="0054284C">
      <w:pPr>
        <w:spacing w:after="120" w:line="276" w:lineRule="auto"/>
        <w:jc w:val="both"/>
      </w:pPr>
      <w:r>
        <w:rPr>
          <w:sz w:val="25"/>
          <w:szCs w:val="25"/>
        </w:rPr>
        <w:t xml:space="preserve">Rilevata pertanto </w:t>
      </w:r>
      <w:r>
        <w:rPr>
          <w:sz w:val="25"/>
          <w:szCs w:val="25"/>
        </w:rPr>
        <w:t>la straordinaria necessità ed urgenza di emanare disposizioni per contenere e contrastare l’emergenza epidemiologica da COVID-19 si devono adottare misure di contrasto e di contenimento alla diffusione del predetto virus;</w:t>
      </w:r>
    </w:p>
    <w:p w14:paraId="4C23D595" w14:textId="77777777" w:rsidR="008F01E2" w:rsidRDefault="0054284C">
      <w:pPr>
        <w:spacing w:after="120" w:line="276" w:lineRule="auto"/>
        <w:jc w:val="both"/>
      </w:pPr>
      <w:r>
        <w:rPr>
          <w:sz w:val="25"/>
          <w:szCs w:val="25"/>
        </w:rPr>
        <w:lastRenderedPageBreak/>
        <w:t xml:space="preserve">Tenuto conto che l’Organizzazione </w:t>
      </w:r>
      <w:r>
        <w:rPr>
          <w:sz w:val="25"/>
          <w:szCs w:val="25"/>
        </w:rPr>
        <w:t>Mondiale della Sanità il 30 gennaio 2020 ha dichiarato l’epidemia da COVID-19 un’emergenza di sanità pubblica di rilevanza internazionale;</w:t>
      </w:r>
    </w:p>
    <w:p w14:paraId="15C59F61" w14:textId="77777777" w:rsidR="008F01E2" w:rsidRDefault="0054284C">
      <w:pPr>
        <w:spacing w:after="120" w:line="276" w:lineRule="auto"/>
        <w:jc w:val="both"/>
      </w:pPr>
      <w:r>
        <w:rPr>
          <w:sz w:val="25"/>
          <w:szCs w:val="25"/>
        </w:rPr>
        <w:t>Preso atto dell’evolversi della situazione epidemiologica globale, del carattere particolarmente diffusivo dell’epidemia e dell’incremento dei casi e dei decessi notificati all’Organizzazione Mondiale della Sanità;</w:t>
      </w:r>
    </w:p>
    <w:p w14:paraId="59801571" w14:textId="77777777" w:rsidR="008F01E2" w:rsidRDefault="0054284C">
      <w:pPr>
        <w:spacing w:after="120" w:line="276" w:lineRule="auto"/>
        <w:jc w:val="both"/>
      </w:pPr>
      <w:r>
        <w:rPr>
          <w:sz w:val="25"/>
          <w:szCs w:val="25"/>
        </w:rPr>
        <w:t xml:space="preserve">Vista la deliberazione del Consiglio dei </w:t>
      </w:r>
      <w:r>
        <w:rPr>
          <w:sz w:val="25"/>
          <w:szCs w:val="25"/>
        </w:rPr>
        <w:t>Ministri, adottata nella riunione del 22 febbraio 2020, e ai sensi dell’articolo 32 Legge 833/78, articolo 117 D.L. 112/98 e articolo 50 D.L. 267/2000;</w:t>
      </w:r>
    </w:p>
    <w:p w14:paraId="21C37BA6" w14:textId="77777777" w:rsidR="008F01E2" w:rsidRDefault="008F01E2">
      <w:pPr>
        <w:spacing w:after="120" w:line="276" w:lineRule="auto"/>
        <w:jc w:val="both"/>
        <w:rPr>
          <w:sz w:val="25"/>
          <w:szCs w:val="25"/>
        </w:rPr>
      </w:pPr>
    </w:p>
    <w:p w14:paraId="636B62D9" w14:textId="77777777" w:rsidR="008F01E2" w:rsidRDefault="0054284C">
      <w:pPr>
        <w:spacing w:after="120" w:line="276" w:lineRule="auto"/>
        <w:jc w:val="center"/>
      </w:pPr>
      <w:r>
        <w:rPr>
          <w:b/>
          <w:sz w:val="25"/>
          <w:szCs w:val="25"/>
        </w:rPr>
        <w:t>Art. 1</w:t>
      </w:r>
    </w:p>
    <w:p w14:paraId="29BC0CFA" w14:textId="77777777" w:rsidR="008F01E2" w:rsidRDefault="0054284C">
      <w:pPr>
        <w:spacing w:line="276" w:lineRule="auto"/>
        <w:jc w:val="center"/>
      </w:pPr>
      <w:r>
        <w:rPr>
          <w:b/>
          <w:i/>
          <w:sz w:val="25"/>
          <w:szCs w:val="25"/>
        </w:rPr>
        <w:t>(Misure urgenti per evitare la diffusione del COVID-19)</w:t>
      </w:r>
    </w:p>
    <w:p w14:paraId="2E4AAD1C" w14:textId="77777777" w:rsidR="008F01E2" w:rsidRDefault="008F01E2">
      <w:pPr>
        <w:spacing w:line="276" w:lineRule="auto"/>
        <w:jc w:val="center"/>
      </w:pPr>
    </w:p>
    <w:p w14:paraId="01DFE04B" w14:textId="77777777" w:rsidR="008F01E2" w:rsidRDefault="0054284C">
      <w:pPr>
        <w:spacing w:after="120" w:line="276" w:lineRule="auto"/>
        <w:jc w:val="both"/>
      </w:pPr>
      <w:r>
        <w:rPr>
          <w:sz w:val="25"/>
          <w:szCs w:val="25"/>
        </w:rPr>
        <w:t>1. Allo scopo di evitare il diffondersi</w:t>
      </w:r>
      <w:r>
        <w:rPr>
          <w:sz w:val="25"/>
          <w:szCs w:val="25"/>
        </w:rPr>
        <w:t xml:space="preserve"> del COVID-19 nel territorio regionale, il Presidente della Regione Piemonte adotta straordinarie misure per il contenimento adeguato </w:t>
      </w:r>
      <w:proofErr w:type="gramStart"/>
      <w:r>
        <w:rPr>
          <w:sz w:val="25"/>
          <w:szCs w:val="25"/>
        </w:rPr>
        <w:t>per</w:t>
      </w:r>
      <w:proofErr w:type="gramEnd"/>
      <w:r>
        <w:rPr>
          <w:sz w:val="25"/>
          <w:szCs w:val="25"/>
        </w:rPr>
        <w:t xml:space="preserve"> contrastare l’evolversi della situazione epidemiologica. </w:t>
      </w:r>
    </w:p>
    <w:p w14:paraId="04AC5DEA" w14:textId="77777777" w:rsidR="008F01E2" w:rsidRDefault="0054284C">
      <w:pPr>
        <w:spacing w:after="120" w:line="276" w:lineRule="auto"/>
        <w:jc w:val="both"/>
      </w:pPr>
      <w:r>
        <w:rPr>
          <w:sz w:val="25"/>
          <w:szCs w:val="25"/>
        </w:rPr>
        <w:t>2. Le misure di cui al comma 1 sono le seguenti:</w:t>
      </w:r>
    </w:p>
    <w:p w14:paraId="639B841E" w14:textId="77777777" w:rsidR="008F01E2" w:rsidRDefault="005428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  <w:sz w:val="25"/>
          <w:szCs w:val="25"/>
        </w:rPr>
        <w:t>Sospensione di manifestazioni o iniziative di qualsiasi natura, di eventi, in luogo pubblico o privato, sia in luoghi chiusi che aperti al pubblico, anche di natura culturale, ludico, sportiva e religiosa;</w:t>
      </w:r>
    </w:p>
    <w:p w14:paraId="602866E0" w14:textId="77777777" w:rsidR="008F01E2" w:rsidRDefault="005428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  <w:sz w:val="25"/>
          <w:szCs w:val="25"/>
        </w:rPr>
        <w:t>C</w:t>
      </w:r>
      <w:r>
        <w:rPr>
          <w:color w:val="000000"/>
          <w:sz w:val="25"/>
          <w:szCs w:val="25"/>
        </w:rPr>
        <w:t>hiusura dei servizi educativi dell’infanzia e delle scuole di ogni ordine e grado, nonché della frequenza delle attività scolastiche e di formazione superiore, corsi professionali (ivi compresi i tirocini), master, corsi universitari di ogni grado e univer</w:t>
      </w:r>
      <w:r>
        <w:rPr>
          <w:color w:val="000000"/>
          <w:sz w:val="25"/>
          <w:szCs w:val="25"/>
        </w:rPr>
        <w:t>sità per anziani, con esclusione degli specializzandi nelle discipline mediche e chirurgiche e delle attività formative svolte a distanza;</w:t>
      </w:r>
    </w:p>
    <w:p w14:paraId="08FF9730" w14:textId="77777777" w:rsidR="008F01E2" w:rsidRDefault="005428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  <w:sz w:val="25"/>
          <w:szCs w:val="25"/>
        </w:rPr>
        <w:t>Sospensione dei servizi di apertura al pubblico dei musei e degli altri istituti e luoghi della cultura di cui all’ar</w:t>
      </w:r>
      <w:r>
        <w:rPr>
          <w:color w:val="000000"/>
          <w:sz w:val="25"/>
          <w:szCs w:val="25"/>
        </w:rPr>
        <w:t>ticolo 101 dei Codici dei beni culturali e del paesaggio di cui al D.L. 42/2004, nonché dell’efficacia delle disposizioni regolamentari sull’accesso libero o gratuito a tali istituti o luoghi;</w:t>
      </w:r>
    </w:p>
    <w:p w14:paraId="5057D0EC" w14:textId="77777777" w:rsidR="008F01E2" w:rsidRDefault="005428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  <w:sz w:val="25"/>
          <w:szCs w:val="25"/>
        </w:rPr>
        <w:t>Sospensione di ogni viaggio di istruzione sia sul territorio na</w:t>
      </w:r>
      <w:r>
        <w:rPr>
          <w:color w:val="000000"/>
          <w:sz w:val="25"/>
          <w:szCs w:val="25"/>
        </w:rPr>
        <w:t>zionale che estero;</w:t>
      </w:r>
    </w:p>
    <w:p w14:paraId="53F6C852" w14:textId="77777777" w:rsidR="008F01E2" w:rsidRDefault="005428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  <w:sz w:val="25"/>
          <w:szCs w:val="25"/>
        </w:rPr>
        <w:t>Previsione dell’obbligo da parte di individui che hanno fatto ingresso nel Piemonte da zone a rischio epidemiologico come identificate dall’Organizzazione Mondiale della Sanità di comunicare tale circostanza al Dipartimento di Prevenzio</w:t>
      </w:r>
      <w:r>
        <w:rPr>
          <w:color w:val="000000"/>
          <w:sz w:val="25"/>
          <w:szCs w:val="25"/>
        </w:rPr>
        <w:t>ne dell’Azienda sanitaria competente per territorio per l’adozione della misura di permanenza domiciliare fiduciaria con sorveglianza attiva.</w:t>
      </w:r>
    </w:p>
    <w:p w14:paraId="3D6FE2C8" w14:textId="77777777" w:rsidR="008F01E2" w:rsidRDefault="005428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5"/>
          <w:szCs w:val="25"/>
        </w:rPr>
        <w:t>3. Costituiscono misure igieniche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5"/>
          <w:szCs w:val="25"/>
        </w:rPr>
        <w:t xml:space="preserve">per le malattie a diffusione respiratoria </w:t>
      </w:r>
      <w:proofErr w:type="spellStart"/>
      <w:r>
        <w:rPr>
          <w:color w:val="000000"/>
          <w:sz w:val="25"/>
          <w:szCs w:val="25"/>
        </w:rPr>
        <w:t>sottoriportate</w:t>
      </w:r>
      <w:proofErr w:type="spellEnd"/>
      <w:r>
        <w:rPr>
          <w:color w:val="000000"/>
          <w:sz w:val="25"/>
          <w:szCs w:val="25"/>
        </w:rPr>
        <w:t>:</w:t>
      </w:r>
    </w:p>
    <w:p w14:paraId="085BE934" w14:textId="77777777" w:rsidR="008F01E2" w:rsidRDefault="00542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76" w:lineRule="auto"/>
        <w:ind w:left="907" w:hanging="397"/>
        <w:jc w:val="both"/>
        <w:rPr>
          <w:color w:val="000000"/>
        </w:rPr>
      </w:pPr>
      <w:r>
        <w:rPr>
          <w:color w:val="000000"/>
          <w:sz w:val="25"/>
          <w:szCs w:val="25"/>
        </w:rPr>
        <w:t>Lavarsi spesso le mani: a tal proposito si raccomanda di mettere a disposizione in tutti i locali pubblici, palestre, supermercati, farmacie e altri luoghi di aggregazione soluzioni idroalcoliche per il lavaggio delle mani;</w:t>
      </w:r>
    </w:p>
    <w:p w14:paraId="490E1B80" w14:textId="77777777" w:rsidR="008F01E2" w:rsidRDefault="00542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07" w:hanging="397"/>
        <w:jc w:val="both"/>
        <w:rPr>
          <w:color w:val="000000"/>
        </w:rPr>
      </w:pPr>
      <w:r>
        <w:rPr>
          <w:color w:val="000000"/>
          <w:sz w:val="25"/>
          <w:szCs w:val="25"/>
        </w:rPr>
        <w:t xml:space="preserve">Evitare il contatto ravvicinato </w:t>
      </w:r>
      <w:r>
        <w:rPr>
          <w:color w:val="000000"/>
          <w:sz w:val="25"/>
          <w:szCs w:val="25"/>
        </w:rPr>
        <w:t>con persone che soffrono di infezioni respiratorie acute;</w:t>
      </w:r>
    </w:p>
    <w:p w14:paraId="3D41CC66" w14:textId="77777777" w:rsidR="008F01E2" w:rsidRDefault="00542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07" w:hanging="397"/>
        <w:jc w:val="both"/>
        <w:rPr>
          <w:color w:val="000000"/>
        </w:rPr>
      </w:pPr>
      <w:r>
        <w:rPr>
          <w:color w:val="000000"/>
          <w:sz w:val="25"/>
          <w:szCs w:val="25"/>
        </w:rPr>
        <w:t>Non toccarsi occhi, naso e bocca con le mani;</w:t>
      </w:r>
    </w:p>
    <w:p w14:paraId="204B4929" w14:textId="77777777" w:rsidR="008F01E2" w:rsidRDefault="00542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07" w:hanging="397"/>
        <w:jc w:val="both"/>
        <w:rPr>
          <w:color w:val="000000"/>
        </w:rPr>
      </w:pPr>
      <w:r>
        <w:rPr>
          <w:color w:val="000000"/>
          <w:sz w:val="25"/>
          <w:szCs w:val="25"/>
        </w:rPr>
        <w:lastRenderedPageBreak/>
        <w:t>Coprirsi bocca e naso se si starnutisce o tossisce;</w:t>
      </w:r>
    </w:p>
    <w:p w14:paraId="03427726" w14:textId="77777777" w:rsidR="008F01E2" w:rsidRDefault="00542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07" w:hanging="397"/>
        <w:jc w:val="both"/>
        <w:rPr>
          <w:color w:val="000000"/>
        </w:rPr>
      </w:pPr>
      <w:r>
        <w:rPr>
          <w:color w:val="000000"/>
          <w:sz w:val="25"/>
          <w:szCs w:val="25"/>
        </w:rPr>
        <w:t>Non prendere farmaci antivirali né antibiotici, a meno che siano prescritti dal medico;</w:t>
      </w:r>
    </w:p>
    <w:p w14:paraId="27E1AAB2" w14:textId="77777777" w:rsidR="008F01E2" w:rsidRDefault="00542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07" w:hanging="397"/>
        <w:jc w:val="both"/>
        <w:rPr>
          <w:color w:val="000000"/>
        </w:rPr>
      </w:pPr>
      <w:r>
        <w:rPr>
          <w:color w:val="000000"/>
          <w:sz w:val="25"/>
          <w:szCs w:val="25"/>
        </w:rPr>
        <w:t>Pulire le su</w:t>
      </w:r>
      <w:r>
        <w:rPr>
          <w:color w:val="000000"/>
          <w:sz w:val="25"/>
          <w:szCs w:val="25"/>
        </w:rPr>
        <w:t>perfici con disinfettanti a base di cloro o alcol;</w:t>
      </w:r>
    </w:p>
    <w:p w14:paraId="175E49DB" w14:textId="77777777" w:rsidR="008F01E2" w:rsidRDefault="00542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76" w:lineRule="auto"/>
        <w:ind w:left="907" w:hanging="397"/>
        <w:jc w:val="both"/>
        <w:rPr>
          <w:color w:val="000000"/>
        </w:rPr>
      </w:pPr>
      <w:r>
        <w:rPr>
          <w:color w:val="000000"/>
          <w:sz w:val="25"/>
          <w:szCs w:val="25"/>
        </w:rPr>
        <w:t>Usare la mascherina solo si sospetta di essere malato o si assiste persone malate;</w:t>
      </w:r>
    </w:p>
    <w:p w14:paraId="17442337" w14:textId="77777777" w:rsidR="008F01E2" w:rsidRDefault="00542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64" w:hanging="454"/>
        <w:jc w:val="both"/>
        <w:rPr>
          <w:color w:val="000000"/>
        </w:rPr>
      </w:pPr>
      <w:r>
        <w:rPr>
          <w:color w:val="000000"/>
          <w:sz w:val="25"/>
          <w:szCs w:val="25"/>
        </w:rPr>
        <w:t>Considerare che i prodotti Made in China e i pacchi ricevuti dalla Cina non sono pericolosi;</w:t>
      </w:r>
    </w:p>
    <w:p w14:paraId="2C07A17D" w14:textId="77777777" w:rsidR="008F01E2" w:rsidRDefault="00542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64" w:hanging="454"/>
        <w:jc w:val="both"/>
        <w:rPr>
          <w:color w:val="000000"/>
        </w:rPr>
      </w:pPr>
      <w:r>
        <w:rPr>
          <w:color w:val="000000"/>
          <w:sz w:val="25"/>
          <w:szCs w:val="25"/>
        </w:rPr>
        <w:t xml:space="preserve">Considerare che gli animali da compagnia non diffondono il </w:t>
      </w:r>
      <w:proofErr w:type="gramStart"/>
      <w:r>
        <w:rPr>
          <w:color w:val="000000"/>
          <w:sz w:val="25"/>
          <w:szCs w:val="25"/>
        </w:rPr>
        <w:t>Coronavirus  COVID</w:t>
      </w:r>
      <w:proofErr w:type="gramEnd"/>
      <w:r>
        <w:rPr>
          <w:color w:val="000000"/>
          <w:sz w:val="25"/>
          <w:szCs w:val="25"/>
        </w:rPr>
        <w:t xml:space="preserve"> 19;</w:t>
      </w:r>
    </w:p>
    <w:p w14:paraId="3BCB0E34" w14:textId="77777777" w:rsidR="008F01E2" w:rsidRDefault="00542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64" w:hanging="454"/>
        <w:jc w:val="both"/>
        <w:rPr>
          <w:color w:val="000000"/>
        </w:rPr>
      </w:pPr>
      <w:r>
        <w:rPr>
          <w:color w:val="000000"/>
          <w:sz w:val="25"/>
          <w:szCs w:val="25"/>
        </w:rPr>
        <w:t>Evitare tutti i contatti ravvicinati;</w:t>
      </w:r>
    </w:p>
    <w:p w14:paraId="77ECB9E7" w14:textId="77777777" w:rsidR="008F01E2" w:rsidRDefault="00542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20" w:hanging="454"/>
        <w:jc w:val="both"/>
        <w:rPr>
          <w:color w:val="000000"/>
        </w:rPr>
      </w:pPr>
      <w:r>
        <w:rPr>
          <w:color w:val="000000"/>
          <w:sz w:val="25"/>
          <w:szCs w:val="25"/>
        </w:rPr>
        <w:t>Ricordare che i cittadini che presentino ev</w:t>
      </w:r>
      <w:r>
        <w:rPr>
          <w:color w:val="000000"/>
          <w:sz w:val="25"/>
          <w:szCs w:val="25"/>
        </w:rPr>
        <w:t>identi condizioni sintomatiche ascrivibili a patologie respiratorie, fra cui rientra il Coronavirus COVID 19, possono contattare il numero 1500, il proprio medico di base e le ASL di riferimento ovvero, solo in caso di reale urgenza, il numero 112 e che si</w:t>
      </w:r>
      <w:r>
        <w:rPr>
          <w:color w:val="000000"/>
          <w:sz w:val="25"/>
          <w:szCs w:val="25"/>
        </w:rPr>
        <w:t xml:space="preserve"> devono evitare accessi impropri al pronto soccorso.</w:t>
      </w:r>
    </w:p>
    <w:p w14:paraId="4FA4CB07" w14:textId="77777777" w:rsidR="008F01E2" w:rsidRDefault="005428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5"/>
          <w:szCs w:val="25"/>
        </w:rPr>
        <w:t>4. Le Direzioni sanitarie ospedaliere pubbliche, private, convenzionate ed equiparate devono predisporre la massima limitazione dell’accesso dei semplici visitatori alle aree di degenza.</w:t>
      </w:r>
    </w:p>
    <w:p w14:paraId="000DABFB" w14:textId="77777777" w:rsidR="008F01E2" w:rsidRDefault="005428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5"/>
          <w:szCs w:val="25"/>
        </w:rPr>
        <w:t>Le strutture res</w:t>
      </w:r>
      <w:r>
        <w:rPr>
          <w:color w:val="000000"/>
          <w:sz w:val="25"/>
          <w:szCs w:val="25"/>
        </w:rPr>
        <w:t>idenziali e semiresidenziali territoriali di post-acuzie, fra cui, ad esempio, RSA, RAF, CAVS, Centri Diurni, Comunità Alloggio, devono limitare l’accesso dei visitatori agli ospiti. 5. Si raccomanda fortemente che il personale tecnico (OSS) e sanitario si</w:t>
      </w:r>
      <w:r>
        <w:rPr>
          <w:color w:val="000000"/>
          <w:sz w:val="25"/>
          <w:szCs w:val="25"/>
        </w:rPr>
        <w:t xml:space="preserve"> attenga alle misure di prevenzione per la diffusione delle infezioni per via respiratoria, nonché alla rigorosa applicazione delle indicazioni per la sanificazione e disinfezione degli ambienti previste dalla circolare ministeriale;</w:t>
      </w:r>
    </w:p>
    <w:p w14:paraId="278B66E5" w14:textId="77777777" w:rsidR="008F01E2" w:rsidRDefault="005428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5"/>
          <w:szCs w:val="25"/>
        </w:rPr>
        <w:t>6. Deve essere predisp</w:t>
      </w:r>
      <w:r>
        <w:rPr>
          <w:color w:val="000000"/>
          <w:sz w:val="25"/>
          <w:szCs w:val="25"/>
        </w:rPr>
        <w:t>osta dagli organismi competenti la disinfezione giornaliera dei treni regionali e di tutto il trasporto pubblico locale via terra, via aerea e via acqua;</w:t>
      </w:r>
    </w:p>
    <w:p w14:paraId="29F72733" w14:textId="77777777" w:rsidR="008F01E2" w:rsidRDefault="0054284C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5"/>
          <w:szCs w:val="25"/>
        </w:rPr>
        <w:t>7. Sono sospese le procedure concorsuali ad esclusione dei concorsi per personale sanitario;</w:t>
      </w:r>
    </w:p>
    <w:p w14:paraId="09A7A600" w14:textId="77777777" w:rsidR="008F01E2" w:rsidRDefault="0054284C">
      <w:pPr>
        <w:spacing w:after="60" w:line="276" w:lineRule="auto"/>
        <w:jc w:val="both"/>
      </w:pPr>
      <w:r>
        <w:rPr>
          <w:sz w:val="25"/>
          <w:szCs w:val="25"/>
        </w:rPr>
        <w:t>8. Sono sospesi congedi ordinari del personale sanitario e tecnico nonché del personale le cui attività siano necessarie a gestire le attività richieste dall’Unità</w:t>
      </w:r>
      <w:r>
        <w:rPr>
          <w:sz w:val="25"/>
          <w:szCs w:val="25"/>
        </w:rPr>
        <w:t xml:space="preserve"> di Crisi.</w:t>
      </w:r>
    </w:p>
    <w:p w14:paraId="7F97F2A3" w14:textId="77777777" w:rsidR="008F01E2" w:rsidRDefault="008F01E2">
      <w:pPr>
        <w:spacing w:after="60" w:line="276" w:lineRule="auto"/>
        <w:jc w:val="both"/>
        <w:rPr>
          <w:sz w:val="25"/>
          <w:szCs w:val="25"/>
        </w:rPr>
      </w:pPr>
    </w:p>
    <w:p w14:paraId="0344509A" w14:textId="77777777" w:rsidR="008F01E2" w:rsidRDefault="0054284C">
      <w:pPr>
        <w:spacing w:after="120" w:line="276" w:lineRule="auto"/>
        <w:jc w:val="center"/>
      </w:pPr>
      <w:r>
        <w:rPr>
          <w:b/>
          <w:sz w:val="25"/>
          <w:szCs w:val="25"/>
        </w:rPr>
        <w:t>Art. 2</w:t>
      </w:r>
    </w:p>
    <w:p w14:paraId="6ED4E14F" w14:textId="77777777" w:rsidR="008F01E2" w:rsidRDefault="0054284C">
      <w:pPr>
        <w:spacing w:after="120" w:line="276" w:lineRule="auto"/>
        <w:jc w:val="center"/>
      </w:pPr>
      <w:r>
        <w:rPr>
          <w:b/>
          <w:i/>
          <w:sz w:val="25"/>
          <w:szCs w:val="25"/>
        </w:rPr>
        <w:t>(Durata e altre misure urgenti per evitare la diffusione del COVID-19)</w:t>
      </w:r>
    </w:p>
    <w:p w14:paraId="77D48AD6" w14:textId="77777777" w:rsidR="008F01E2" w:rsidRDefault="008F01E2">
      <w:pPr>
        <w:spacing w:after="120" w:line="276" w:lineRule="auto"/>
        <w:jc w:val="center"/>
        <w:rPr>
          <w:i/>
          <w:sz w:val="25"/>
          <w:szCs w:val="25"/>
        </w:rPr>
      </w:pPr>
    </w:p>
    <w:p w14:paraId="2FDF1D51" w14:textId="77777777" w:rsidR="008F01E2" w:rsidRDefault="0054284C">
      <w:pPr>
        <w:spacing w:line="276" w:lineRule="auto"/>
        <w:jc w:val="both"/>
      </w:pPr>
      <w:r>
        <w:rPr>
          <w:sz w:val="25"/>
          <w:szCs w:val="25"/>
        </w:rPr>
        <w:t>I provvedimenti del presente decreto hanno efficacia dalla data della firma del presente documento fino a sabato prossimo 29 febbraio 2020</w:t>
      </w:r>
      <w:r>
        <w:rPr>
          <w:sz w:val="25"/>
          <w:szCs w:val="25"/>
        </w:rPr>
        <w:t>.</w:t>
      </w:r>
    </w:p>
    <w:p w14:paraId="1D7483B8" w14:textId="77777777" w:rsidR="008F01E2" w:rsidRDefault="0054284C">
      <w:pPr>
        <w:spacing w:line="276" w:lineRule="auto"/>
        <w:jc w:val="both"/>
      </w:pPr>
      <w:r>
        <w:rPr>
          <w:sz w:val="25"/>
          <w:szCs w:val="25"/>
        </w:rPr>
        <w:t>La presente ordinanza è soggetta a modifiche al seguito del variare dello scenario epidemiologico.</w:t>
      </w:r>
    </w:p>
    <w:p w14:paraId="19EDF4C6" w14:textId="77777777" w:rsidR="008F01E2" w:rsidRDefault="0054284C">
      <w:pPr>
        <w:spacing w:line="276" w:lineRule="auto"/>
        <w:jc w:val="both"/>
      </w:pPr>
      <w:r>
        <w:rPr>
          <w:sz w:val="25"/>
          <w:szCs w:val="25"/>
        </w:rPr>
        <w:t>Ai sensi della vi</w:t>
      </w:r>
      <w:r>
        <w:rPr>
          <w:sz w:val="25"/>
          <w:szCs w:val="25"/>
        </w:rPr>
        <w:t>gente normativa, salvo il fatto che non costituisca più grave reato, il mancato rispetto delle misure di contenimento di cui al presente decreto è punito secondo le previsioni contenute del Codice penale.</w:t>
      </w:r>
    </w:p>
    <w:p w14:paraId="58D41BFB" w14:textId="77777777" w:rsidR="008F01E2" w:rsidRDefault="008F01E2">
      <w:pPr>
        <w:spacing w:line="276" w:lineRule="auto"/>
        <w:jc w:val="both"/>
        <w:rPr>
          <w:sz w:val="25"/>
          <w:szCs w:val="25"/>
        </w:rPr>
      </w:pPr>
    </w:p>
    <w:p w14:paraId="5C425408" w14:textId="77777777" w:rsidR="008F01E2" w:rsidRDefault="0054284C">
      <w:pPr>
        <w:spacing w:line="276" w:lineRule="auto"/>
        <w:jc w:val="both"/>
      </w:pPr>
      <w:r>
        <w:rPr>
          <w:sz w:val="25"/>
          <w:szCs w:val="25"/>
        </w:rPr>
        <w:t>Copia del Decreto è trasmessa ai Prefetti e ai Nuc</w:t>
      </w:r>
      <w:r>
        <w:rPr>
          <w:sz w:val="25"/>
          <w:szCs w:val="25"/>
        </w:rPr>
        <w:t>lei Antisofisticazione (NAS).</w:t>
      </w:r>
    </w:p>
    <w:p w14:paraId="779EADAA" w14:textId="77777777" w:rsidR="008F01E2" w:rsidRDefault="008F01E2">
      <w:pPr>
        <w:jc w:val="both"/>
        <w:rPr>
          <w:sz w:val="25"/>
          <w:szCs w:val="25"/>
        </w:rPr>
      </w:pPr>
    </w:p>
    <w:p w14:paraId="1D794F24" w14:textId="77777777" w:rsidR="008F01E2" w:rsidRDefault="0054284C">
      <w:pPr>
        <w:jc w:val="both"/>
      </w:pPr>
      <w:r>
        <w:t>Torino, 23 febbraio 2020</w:t>
      </w:r>
      <w:r>
        <w:tab/>
      </w:r>
      <w:r>
        <w:tab/>
        <w:t xml:space="preserve">       Alberto Cirio                                           Roberto Speranza</w:t>
      </w:r>
    </w:p>
    <w:sectPr w:rsidR="008F01E2">
      <w:footerReference w:type="default" r:id="rId8"/>
      <w:footerReference w:type="first" r:id="rId9"/>
      <w:pgSz w:w="11906" w:h="16838"/>
      <w:pgMar w:top="1701" w:right="964" w:bottom="1276" w:left="9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4280F" w14:textId="77777777" w:rsidR="0054284C" w:rsidRDefault="0054284C">
      <w:r>
        <w:separator/>
      </w:r>
    </w:p>
  </w:endnote>
  <w:endnote w:type="continuationSeparator" w:id="0">
    <w:p w14:paraId="525E6AEA" w14:textId="77777777" w:rsidR="0054284C" w:rsidRDefault="0054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BFB9" w14:textId="77777777" w:rsidR="008F01E2" w:rsidRDefault="005428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06257">
      <w:rPr>
        <w:color w:val="000000"/>
      </w:rPr>
      <w:fldChar w:fldCharType="separate"/>
    </w:r>
    <w:r w:rsidR="00806257">
      <w:rPr>
        <w:noProof/>
        <w:color w:val="000000"/>
      </w:rPr>
      <w:t>1</w:t>
    </w:r>
    <w:r>
      <w:rPr>
        <w:color w:val="000000"/>
      </w:rPr>
      <w:fldChar w:fldCharType="end"/>
    </w:r>
  </w:p>
  <w:p w14:paraId="429C09E7" w14:textId="77777777" w:rsidR="008F01E2" w:rsidRDefault="008F01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73552" w14:textId="77777777" w:rsidR="008F01E2" w:rsidRDefault="008F01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5D8C8" w14:textId="77777777" w:rsidR="0054284C" w:rsidRDefault="0054284C">
      <w:r>
        <w:separator/>
      </w:r>
    </w:p>
  </w:footnote>
  <w:footnote w:type="continuationSeparator" w:id="0">
    <w:p w14:paraId="07F5A607" w14:textId="77777777" w:rsidR="0054284C" w:rsidRDefault="0054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A77FA"/>
    <w:multiLevelType w:val="multilevel"/>
    <w:tmpl w:val="1ED64F6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5"/>
        <w:szCs w:val="25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8E128A2"/>
    <w:multiLevelType w:val="multilevel"/>
    <w:tmpl w:val="118808F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5"/>
        <w:szCs w:val="25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E2"/>
    <w:rsid w:val="0054284C"/>
    <w:rsid w:val="00806257"/>
    <w:rsid w:val="008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58C1"/>
  <w15:docId w15:val="{8047D1C3-CCAE-45B9-938E-7DE2BD79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2020-02-24T13:18:00Z</dcterms:created>
  <dcterms:modified xsi:type="dcterms:W3CDTF">2020-02-24T13:18:00Z</dcterms:modified>
</cp:coreProperties>
</file>